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92" w:lineRule="auto"/>
        <w:ind w:left="2163" w:right="1992" w:firstLine="0"/>
        <w:jc w:val="center"/>
        <w:rPr/>
      </w:pPr>
      <w:r w:rsidDel="00000000" w:rsidR="00000000" w:rsidRPr="00000000">
        <w:rPr>
          <w:rtl w:val="0"/>
        </w:rPr>
        <w:t xml:space="preserve">ANEXO VI</w:t>
      </w:r>
    </w:p>
    <w:p w:rsidR="00000000" w:rsidDel="00000000" w:rsidP="00000000" w:rsidRDefault="00000000" w:rsidRPr="00000000" w14:paraId="00000004">
      <w:pPr>
        <w:spacing w:before="3" w:lineRule="auto"/>
        <w:ind w:left="2163" w:right="1997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MÉTRICAS PARA SELEÇÃO COMISSÃO AVALIADORA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2"/>
        </w:numPr>
        <w:tabs>
          <w:tab w:val="left" w:pos="447"/>
        </w:tabs>
        <w:spacing w:after="0" w:before="202" w:line="240" w:lineRule="auto"/>
        <w:ind w:left="446" w:right="0" w:hanging="337"/>
        <w:jc w:val="both"/>
        <w:rPr/>
      </w:pPr>
      <w:r w:rsidDel="00000000" w:rsidR="00000000" w:rsidRPr="00000000">
        <w:rPr>
          <w:rtl w:val="0"/>
        </w:rPr>
        <w:t xml:space="preserve">DA COMISSÃO ORGANIZADORA DO EDITAL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90"/>
        </w:tabs>
        <w:spacing w:after="0" w:before="160" w:line="242" w:lineRule="auto"/>
        <w:ind w:left="110" w:right="639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Comissão avaliadora do Edital 0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PROEXT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PROEN E </w:t>
      </w:r>
      <w:r w:rsidDel="00000000" w:rsidR="00000000" w:rsidRPr="00000000">
        <w:rPr>
          <w:sz w:val="24"/>
          <w:szCs w:val="24"/>
          <w:rtl w:val="0"/>
        </w:rPr>
        <w:t xml:space="preserve">PRPI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será composta por docentes do </w:t>
      </w:r>
      <w:hyperlink r:id="rId7">
        <w:r w:rsidDel="00000000" w:rsidR="00000000" w:rsidRPr="00000000">
          <w:rPr>
            <w:rFonts w:ascii="Arial MT" w:cs="Arial MT" w:eastAsia="Arial MT" w:hAnsi="Arial MT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Instituto Federal de Educação, Ciência e Tecnologia do Ceará</w:t>
        </w:r>
      </w:hyperlink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será acompanhada por representantes das </w:t>
      </w:r>
      <w:r w:rsidDel="00000000" w:rsidR="00000000" w:rsidRPr="00000000">
        <w:rPr>
          <w:sz w:val="24"/>
          <w:szCs w:val="24"/>
          <w:rtl w:val="0"/>
        </w:rPr>
        <w:t xml:space="preserve">Pró-Reitorias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80"/>
        </w:tabs>
        <w:spacing w:after="0" w:before="158" w:line="240" w:lineRule="auto"/>
        <w:ind w:left="579" w:right="0" w:hanging="47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Cabe a comissão atender: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4"/>
        </w:tabs>
        <w:spacing w:after="0" w:before="156" w:line="240" w:lineRule="auto"/>
        <w:ind w:left="532" w:right="646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prazos do cronograma respondendo as solicitações enviadas. Avaliar as propostas submetidas pelas equipes no presente edital, responder através do envio de documentos os recursos impetrados e analisar e emitir decisões sobre casos omissos a este edital.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09"/>
        </w:tabs>
        <w:spacing w:after="0" w:before="159" w:line="242" w:lineRule="auto"/>
        <w:ind w:left="532" w:right="654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comissão avaliadora será composta por participantes conforme as áreas temáticas do item 2 desse edital.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376" w:right="4104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Agricultura e Tecnologia do Alimento Administração, Economia e Finanças Arte e Cultura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2376" w:right="5975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Tecnologia Desporto e lazer Educação Empreendedorismo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37" w:lineRule="auto"/>
        <w:ind w:left="2376" w:right="4104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Gestão Ambiental e Sustentabilidade Indústria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37" w:lineRule="auto"/>
        <w:ind w:left="2376" w:right="5172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Psicologia e Serviço Social Saúde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37" w:lineRule="auto"/>
        <w:ind w:left="2376" w:right="5007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Turismo e Entretenimento Ciências Humanas e Sociais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numPr>
          <w:ilvl w:val="0"/>
          <w:numId w:val="2"/>
        </w:numPr>
        <w:tabs>
          <w:tab w:val="left" w:pos="379"/>
        </w:tabs>
        <w:spacing w:after="0" w:before="0" w:line="240" w:lineRule="auto"/>
        <w:ind w:left="378" w:right="0" w:hanging="269"/>
        <w:jc w:val="both"/>
        <w:rPr/>
      </w:pPr>
      <w:r w:rsidDel="00000000" w:rsidR="00000000" w:rsidRPr="00000000">
        <w:rPr>
          <w:rtl w:val="0"/>
        </w:rPr>
        <w:t xml:space="preserve">DA AVALIAÇÃO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86"/>
        </w:tabs>
        <w:spacing w:after="0" w:before="163" w:line="237" w:lineRule="auto"/>
        <w:ind w:left="110" w:right="654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8" w:type="default"/>
          <w:pgSz w:h="16840" w:w="11910" w:orient="portrait"/>
          <w:pgMar w:bottom="280" w:top="2900" w:left="740" w:right="720" w:header="1051" w:footer="360"/>
          <w:pgNumType w:start="1"/>
        </w:sect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comissão avaliadora elegerá a melhor proposta, através de uma listagem em ordem decrescente segundo os critérios do item 13, classificando-o por nota.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4.0" w:type="dxa"/>
        <w:jc w:val="left"/>
        <w:tblInd w:w="250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850"/>
        <w:gridCol w:w="2556"/>
        <w:gridCol w:w="5244"/>
        <w:gridCol w:w="994"/>
        <w:tblGridChange w:id="0">
          <w:tblGrid>
            <w:gridCol w:w="850"/>
            <w:gridCol w:w="2556"/>
            <w:gridCol w:w="5244"/>
            <w:gridCol w:w="994"/>
          </w:tblGrid>
        </w:tblGridChange>
      </w:tblGrid>
      <w:tr>
        <w:trPr>
          <w:cantSplit w:val="0"/>
          <w:trHeight w:val="1017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Critérios de Avaliação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52" w:right="217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9" w:right="241" w:hanging="53.00000000000001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 ação</w:t>
            </w:r>
          </w:p>
        </w:tc>
      </w:tr>
      <w:tr>
        <w:trPr>
          <w:cantSplit w:val="0"/>
          <w:trHeight w:val="173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C1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Inovação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" w:right="236" w:firstLine="0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Aspectos criativos e originais – Processo, produto ou situação criativa presente. Bem como aspecto inusitado, que ainda não foi realizado no IFCE e/ou uma proposta que foi reformulada a partir de algo já existente.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</w:tr>
      <w:tr>
        <w:trPr>
          <w:cantSplit w:val="0"/>
          <w:trHeight w:val="1741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C2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Resiliência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" w:right="239" w:firstLine="0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Impactos positivos – Deve apresentar melhorias no cotidiano do público alvo em tempos de crise e pandemia causada pelo Coronavírus (Sars-CoV-2) referente a área de enfrentamento indicada na proposta.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2,5</w:t>
            </w:r>
          </w:p>
        </w:tc>
      </w:tr>
      <w:tr>
        <w:trPr>
          <w:cantSplit w:val="0"/>
          <w:trHeight w:val="1463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C3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Abrangência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" w:right="236" w:firstLine="0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Envolvimento e publicização das ações - Indicativos de colaboração, solidariedade, alcance dos envolvidos e divulgação das ações nos mais diversos canais.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</w:tr>
      <w:tr>
        <w:trPr>
          <w:cantSplit w:val="0"/>
          <w:trHeight w:val="1463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C4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Interdisciplinaridade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" w:right="240" w:firstLine="0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Amplitude entre outras áreas de enfrentamento - Clareza das relações da proposta com outros campos de conhecimento.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</w:tr>
      <w:tr>
        <w:trPr>
          <w:cantSplit w:val="0"/>
          <w:trHeight w:val="1463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C5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19" w:right="861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Conhecimento Científico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8" w:right="237" w:firstLine="0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Produção de Conhecimento - Possibilidades em desenvolver pesquisa e conhecimento científico através das análises do processo e dos resultados da proposta.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6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</w:tr>
      <w:tr>
        <w:trPr>
          <w:cantSplit w:val="0"/>
          <w:trHeight w:val="95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C6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Evolução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7" w:lineRule="auto"/>
              <w:ind w:left="118" w:right="232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Continuidade e Evolução – Potencialidades de continuidade e replicação após pandemia.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</w:tr>
      <w:tr>
        <w:trPr>
          <w:cantSplit w:val="0"/>
          <w:trHeight w:val="119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C7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Viabilidade Técnica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" w:right="239" w:firstLine="0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Viabilidade – Possibilidades da realização das ações e alcance dos resultados a partir dos objetivos da proposta.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</w:tr>
    </w:tbl>
    <w:p w:rsidR="00000000" w:rsidDel="00000000" w:rsidP="00000000" w:rsidRDefault="00000000" w:rsidRPr="00000000" w14:paraId="00000057">
      <w:pPr>
        <w:spacing w:after="0" w:lineRule="auto"/>
        <w:ind w:firstLine="0"/>
        <w:rPr>
          <w:sz w:val="24"/>
          <w:szCs w:val="24"/>
        </w:rPr>
        <w:sectPr>
          <w:type w:val="nextPage"/>
          <w:pgSz w:h="16840" w:w="11910" w:orient="portrait"/>
          <w:pgMar w:bottom="280" w:top="2900" w:left="740" w:right="720" w:header="1051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97"/>
        </w:tabs>
        <w:spacing w:after="0" w:before="0" w:line="619" w:lineRule="auto"/>
        <w:ind w:left="1377" w:right="785" w:hanging="985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nota bruta do projeto (NP) poderá ser de 0 (zero) a 10 (dez) sendo calculada por: NP= C1+ C2 + C3 + C4 + C5 + C6 + C7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1"/>
        </w:tabs>
        <w:spacing w:after="0" w:before="0" w:line="240" w:lineRule="auto"/>
        <w:ind w:left="393" w:right="641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proposta será considerada aprovada, caso obtenha pelo menos 4 (quatro) do 10 (dez) pontos possíveis da nota bruta da proposta (NP). As propostas devem ser classificadas em ordem decrescente das notas da proposta (NP) e serão selecionadas as melhores classificadas considerando os recursos disponíveis. Em caso de empate os critérios de desempate são estes se darão na respectiva ordem: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2" w:lineRule="auto"/>
        <w:ind w:left="2376" w:right="3411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Maior nota no item C7: Viabilidade Técnica; Maior nota no item C2: Resiliência;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2376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Maior nota no item C1: Inovação;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2376" w:right="2878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Maior nota no item C5: Conhecimento Científico; Maior nota no item C4: Interdisciplinaridade; Maior nota no item C3: Abrangência;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2376" w:right="242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Mais idoso, considerando o seu ano, mês e dia de nascimento, segundo o Art. 27 e seu parágrafo único da Lei nº. 10.741/2003.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numPr>
          <w:ilvl w:val="0"/>
          <w:numId w:val="2"/>
        </w:numPr>
        <w:tabs>
          <w:tab w:val="left" w:pos="379"/>
        </w:tabs>
        <w:spacing w:after="0" w:before="1" w:line="240" w:lineRule="auto"/>
        <w:ind w:left="378" w:right="0" w:hanging="269"/>
        <w:jc w:val="both"/>
        <w:rPr/>
      </w:pPr>
      <w:r w:rsidDel="00000000" w:rsidR="00000000" w:rsidRPr="00000000">
        <w:rPr>
          <w:rtl w:val="0"/>
        </w:rPr>
        <w:t xml:space="preserve">DAS COMPROVAÇÕES DE PARTICIPAÇÃO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2" w:lineRule="auto"/>
        <w:ind w:left="110" w:right="649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 Os participantes da comissão receberão declaração equivalente as atividades. Para tanto, deverá atender a representação e soluções mínimas, segundo exposto nos itens relacionados a comissão.</w:t>
      </w:r>
    </w:p>
    <w:sectPr>
      <w:type w:val="nextPage"/>
      <w:pgSz w:h="16840" w:w="11910" w:orient="portrait"/>
      <w:pgMar w:bottom="280" w:top="2900" w:left="740" w:right="720" w:header="1051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5815329</wp:posOffset>
          </wp:positionH>
          <wp:positionV relativeFrom="page">
            <wp:posOffset>667384</wp:posOffset>
          </wp:positionV>
          <wp:extent cx="954404" cy="1173479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4404" cy="11734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tbl>
    <w:tblPr>
      <w:tblStyle w:val="Table2"/>
      <w:tblW w:w="10210.000000000002" w:type="dxa"/>
      <w:jc w:val="left"/>
      <w:tblInd w:w="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838"/>
      <w:gridCol w:w="5076"/>
      <w:gridCol w:w="2296"/>
      <w:tblGridChange w:id="0">
        <w:tblGrid>
          <w:gridCol w:w="2838"/>
          <w:gridCol w:w="5076"/>
          <w:gridCol w:w="2296"/>
        </w:tblGrid>
      </w:tblGridChange>
    </w:tblGrid>
    <w:tr>
      <w:trPr>
        <w:cantSplit w:val="0"/>
        <w:trHeight w:val="1848" w:hRule="atLeast"/>
        <w:tblHeader w:val="0"/>
      </w:trPr>
      <w:tc>
        <w:tcPr/>
        <w:p w:rsidR="00000000" w:rsidDel="00000000" w:rsidP="00000000" w:rsidRDefault="00000000" w:rsidRPr="00000000" w14:paraId="0000006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8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407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PROGRAMA DE MENTORIA ACREDITAR IFCE</w:t>
          </w:r>
        </w:p>
        <w:p w:rsidR="00000000" w:rsidDel="00000000" w:rsidP="00000000" w:rsidRDefault="00000000" w:rsidRPr="00000000" w14:paraId="0000006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407" w:right="0" w:firstLine="0"/>
            <w:jc w:val="center"/>
            <w:rPr>
              <w:rFonts w:ascii="Calibri" w:cs="Calibri" w:eastAsia="Calibri" w:hAnsi="Calibri"/>
              <w:b w:val="1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4"/>
              <w:szCs w:val="24"/>
              <w:rtl w:val="0"/>
            </w:rPr>
            <w:t xml:space="preserve">2a EDIÇÃO</w:t>
          </w:r>
        </w:p>
      </w:tc>
      <w:tc>
        <w:tcPr/>
        <w:p w:rsidR="00000000" w:rsidDel="00000000" w:rsidP="00000000" w:rsidRDefault="00000000" w:rsidRPr="00000000" w14:paraId="0000006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1069067</wp:posOffset>
          </wp:positionH>
          <wp:positionV relativeFrom="page">
            <wp:posOffset>670559</wp:posOffset>
          </wp:positionV>
          <wp:extent cx="835904" cy="1013838"/>
          <wp:effectExtent b="0" l="0" r="0" t="0"/>
          <wp:wrapNone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904" cy="10138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"/>
      <w:lvlJc w:val="left"/>
      <w:pPr>
        <w:ind w:left="1377" w:hanging="404.0000000000002"/>
      </w:pPr>
      <w:rPr/>
    </w:lvl>
    <w:lvl w:ilvl="1">
      <w:start w:val="2"/>
      <w:numFmt w:val="decimal"/>
      <w:lvlText w:val="%1.%2"/>
      <w:lvlJc w:val="left"/>
      <w:pPr>
        <w:ind w:left="1377" w:hanging="404.0000000000002"/>
      </w:pPr>
      <w:rPr>
        <w:rFonts w:ascii="Arial MT" w:cs="Arial MT" w:eastAsia="Arial MT" w:hAnsi="Arial MT"/>
        <w:sz w:val="24"/>
        <w:szCs w:val="24"/>
      </w:rPr>
    </w:lvl>
    <w:lvl w:ilvl="2">
      <w:start w:val="0"/>
      <w:numFmt w:val="bullet"/>
      <w:lvlText w:val="•"/>
      <w:lvlJc w:val="left"/>
      <w:pPr>
        <w:ind w:left="3192" w:hanging="404"/>
      </w:pPr>
      <w:rPr/>
    </w:lvl>
    <w:lvl w:ilvl="3">
      <w:start w:val="0"/>
      <w:numFmt w:val="bullet"/>
      <w:lvlText w:val="•"/>
      <w:lvlJc w:val="left"/>
      <w:pPr>
        <w:ind w:left="4099" w:hanging="404"/>
      </w:pPr>
      <w:rPr/>
    </w:lvl>
    <w:lvl w:ilvl="4">
      <w:start w:val="0"/>
      <w:numFmt w:val="bullet"/>
      <w:lvlText w:val="•"/>
      <w:lvlJc w:val="left"/>
      <w:pPr>
        <w:ind w:left="5005" w:hanging="404"/>
      </w:pPr>
      <w:rPr/>
    </w:lvl>
    <w:lvl w:ilvl="5">
      <w:start w:val="0"/>
      <w:numFmt w:val="bullet"/>
      <w:lvlText w:val="•"/>
      <w:lvlJc w:val="left"/>
      <w:pPr>
        <w:ind w:left="5912" w:hanging="403.9999999999991"/>
      </w:pPr>
      <w:rPr/>
    </w:lvl>
    <w:lvl w:ilvl="6">
      <w:start w:val="0"/>
      <w:numFmt w:val="bullet"/>
      <w:lvlText w:val="•"/>
      <w:lvlJc w:val="left"/>
      <w:pPr>
        <w:ind w:left="6818" w:hanging="404"/>
      </w:pPr>
      <w:rPr/>
    </w:lvl>
    <w:lvl w:ilvl="7">
      <w:start w:val="0"/>
      <w:numFmt w:val="bullet"/>
      <w:lvlText w:val="•"/>
      <w:lvlJc w:val="left"/>
      <w:pPr>
        <w:ind w:left="7724" w:hanging="404"/>
      </w:pPr>
      <w:rPr/>
    </w:lvl>
    <w:lvl w:ilvl="8">
      <w:start w:val="0"/>
      <w:numFmt w:val="bullet"/>
      <w:lvlText w:val="•"/>
      <w:lvlJc w:val="left"/>
      <w:pPr>
        <w:ind w:left="8631" w:hanging="404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446" w:hanging="336"/>
      </w:pPr>
      <w:rPr>
        <w:rFonts w:ascii="Arial" w:cs="Arial" w:eastAsia="Arial" w:hAnsi="Arial"/>
        <w:b w:val="1"/>
        <w:sz w:val="24"/>
        <w:szCs w:val="24"/>
      </w:rPr>
    </w:lvl>
    <w:lvl w:ilvl="1">
      <w:start w:val="1"/>
      <w:numFmt w:val="decimal"/>
      <w:lvlText w:val="%1.%2."/>
      <w:lvlJc w:val="left"/>
      <w:pPr>
        <w:ind w:left="110" w:hanging="480"/>
      </w:pPr>
      <w:rPr>
        <w:rFonts w:ascii="Arial MT" w:cs="Arial MT" w:eastAsia="Arial MT" w:hAnsi="Arial MT"/>
        <w:sz w:val="24"/>
        <w:szCs w:val="24"/>
      </w:rPr>
    </w:lvl>
    <w:lvl w:ilvl="2">
      <w:start w:val="1"/>
      <w:numFmt w:val="decimal"/>
      <w:lvlText w:val="%1.%2.%3"/>
      <w:lvlJc w:val="left"/>
      <w:pPr>
        <w:ind w:left="532" w:hanging="662"/>
      </w:pPr>
      <w:rPr>
        <w:rFonts w:ascii="Arial MT" w:cs="Arial MT" w:eastAsia="Arial MT" w:hAnsi="Arial MT"/>
        <w:sz w:val="24"/>
        <w:szCs w:val="24"/>
      </w:rPr>
    </w:lvl>
    <w:lvl w:ilvl="3">
      <w:start w:val="0"/>
      <w:numFmt w:val="bullet"/>
      <w:lvlText w:val="•"/>
      <w:lvlJc w:val="left"/>
      <w:pPr>
        <w:ind w:left="1778" w:hanging="662"/>
      </w:pPr>
      <w:rPr/>
    </w:lvl>
    <w:lvl w:ilvl="4">
      <w:start w:val="0"/>
      <w:numFmt w:val="bullet"/>
      <w:lvlText w:val="•"/>
      <w:lvlJc w:val="left"/>
      <w:pPr>
        <w:ind w:left="3016" w:hanging="661.9999999999995"/>
      </w:pPr>
      <w:rPr/>
    </w:lvl>
    <w:lvl w:ilvl="5">
      <w:start w:val="0"/>
      <w:numFmt w:val="bullet"/>
      <w:lvlText w:val="•"/>
      <w:lvlJc w:val="left"/>
      <w:pPr>
        <w:ind w:left="4254" w:hanging="662"/>
      </w:pPr>
      <w:rPr/>
    </w:lvl>
    <w:lvl w:ilvl="6">
      <w:start w:val="0"/>
      <w:numFmt w:val="bullet"/>
      <w:lvlText w:val="•"/>
      <w:lvlJc w:val="left"/>
      <w:pPr>
        <w:ind w:left="5492" w:hanging="661.9999999999991"/>
      </w:pPr>
      <w:rPr/>
    </w:lvl>
    <w:lvl w:ilvl="7">
      <w:start w:val="0"/>
      <w:numFmt w:val="bullet"/>
      <w:lvlText w:val="•"/>
      <w:lvlJc w:val="left"/>
      <w:pPr>
        <w:ind w:left="6730" w:hanging="662"/>
      </w:pPr>
      <w:rPr/>
    </w:lvl>
    <w:lvl w:ilvl="8">
      <w:start w:val="0"/>
      <w:numFmt w:val="bullet"/>
      <w:lvlText w:val="•"/>
      <w:lvlJc w:val="left"/>
      <w:pPr>
        <w:ind w:left="7968" w:hanging="662.0000000000009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78" w:hanging="269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ind w:left="378" w:hanging="269"/>
      <w:jc w:val="both"/>
      <w:outlineLvl w:val="1"/>
    </w:pPr>
    <w:rPr>
      <w:rFonts w:ascii="Arial" w:cs="Arial" w:eastAsia="Arial" w:hAnsi="Arial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110"/>
      <w:jc w:val="both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fce.edu.br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Gfq7c43aCJ8+V0gMvYxvHkA5rA==">AMUW2mV0coGgseZ62Ya0ZVlLSKR6acqaUICjlgc+Ng+Vg0IcBCzwEIuDndkiFqYTpKSFZkHSpmwHjOCFYUxVoPU2d7BdqLGMVPezDuuCBlvtUBM/Wt9H+Jo=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2021-07-19T18:47:16Z</dcterms:created>
  <dc:creator>ana.boaretto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