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1ª Maratona de Programação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Instituto Federal de Educação Ciência e Tecnologia – IFCE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Iguatu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60"/>
          <w:szCs w:val="60"/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60"/>
          <w:szCs w:val="60"/>
          <w:rtl w:val="0"/>
        </w:rPr>
        <w:t xml:space="preserve">Nº ____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1080"/>
        <w:gridCol w:w="7080"/>
        <w:tblGridChange w:id="0">
          <w:tblGrid>
            <w:gridCol w:w="1080"/>
            <w:gridCol w:w="1080"/>
            <w:gridCol w:w="7080"/>
          </w:tblGrid>
        </w:tblGridChange>
      </w:tblGrid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da Equipe: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Aluno 1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Escola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Nível: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Médio ( ) Médio com Técnico Integrado ( )Técnico Subsequente</w:t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Aluno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Escola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Nível: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Médio ( ) Médio com Técnico Integrado ( )Técnico Subsequente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Telefone(s) para Contatos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